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85" w:rsidRPr="00DC44BE" w:rsidRDefault="00024785" w:rsidP="00DC4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4BE">
        <w:rPr>
          <w:rFonts w:ascii="Times New Roman" w:hAnsi="Times New Roman" w:cs="Times New Roman"/>
          <w:b/>
          <w:sz w:val="24"/>
          <w:szCs w:val="24"/>
        </w:rPr>
        <w:t xml:space="preserve">Положение о представительских расходах органов местного самоуправления </w:t>
      </w:r>
      <w:r w:rsidR="005925BB">
        <w:rPr>
          <w:rFonts w:ascii="Times New Roman" w:hAnsi="Times New Roman" w:cs="Times New Roman"/>
          <w:b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b/>
          <w:sz w:val="24"/>
          <w:szCs w:val="24"/>
        </w:rPr>
        <w:t>ого сельского поселения</w:t>
      </w:r>
    </w:p>
    <w:p w:rsidR="00024785" w:rsidRPr="00DC44BE" w:rsidRDefault="00024785" w:rsidP="0002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упорядочения использования средств на представительские расходы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и определяет порядок расходования средств на представительские расходы, а также представления отчётности по ним.</w:t>
      </w:r>
    </w:p>
    <w:p w:rsidR="00024785" w:rsidRPr="00DC44BE" w:rsidRDefault="00024785" w:rsidP="0002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Представительские расходы – расходы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поселения, связанные с приёмом официальных лиц и (или) обслуживанием представителей (делегаций и отдельных лиц) организаций, учреждений, предприятий (включая иностранных), участвующих в переговорах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 в целях установления и (или) поддержания взаимного сотрудничества; буфетным обслуживанием заседаний, депутатских слушаний, конференций, семинаров, «круглых столов», совещаний, проводимых органами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заседаний комитетов, приёмных руководителей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направленных на развитие взаимодействия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 и их руководителей с представителями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других организаций, учреждений, предприятий (включая иностранных), проводимых в интересах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поселения; участием руководителей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 в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F5E0D" w:rsidRPr="00DC44BE">
        <w:rPr>
          <w:rFonts w:ascii="Times New Roman" w:hAnsi="Times New Roman" w:cs="Times New Roman"/>
          <w:sz w:val="24"/>
          <w:szCs w:val="24"/>
        </w:rPr>
        <w:t xml:space="preserve"> сельском поселении, сопряжённых с выездом за пределы</w:t>
      </w:r>
      <w:r w:rsidR="00567001" w:rsidRPr="00DC44BE">
        <w:rPr>
          <w:rFonts w:ascii="Times New Roman" w:hAnsi="Times New Roman" w:cs="Times New Roman"/>
          <w:sz w:val="24"/>
          <w:szCs w:val="24"/>
        </w:rPr>
        <w:t xml:space="preserve"> Костромской области с целью представления интересов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567001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по случаю профессиональных праздников, официальных посещений семинаров, презентаций, выступлений творческих коллективов, по поводу открытия социально значимых объектов, поздравления заслуженных людей, коллективов от имени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567001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и других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567001"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567001" w:rsidRPr="00DC44BE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567001" w:rsidRPr="00DC44BE" w:rsidRDefault="00567001" w:rsidP="0002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Официальные лица – лица, являющиеся представителями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других организаций, учреждений, предприятий (включая иностранных), имеющие полномочия на участие в официальных мероприятиях и подписание официальных документов.</w:t>
      </w:r>
    </w:p>
    <w:p w:rsidR="00567001" w:rsidRPr="00DC44BE" w:rsidRDefault="00567001" w:rsidP="0002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Финансовое обеспечение расходных обязательств, связанных с реализацией настоящего Положения, осуществляется из бюджета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в</w:t>
      </w:r>
      <w:r w:rsidR="006C01BA" w:rsidRPr="00DC44BE">
        <w:rPr>
          <w:rFonts w:ascii="Times New Roman" w:hAnsi="Times New Roman" w:cs="Times New Roman"/>
          <w:sz w:val="24"/>
          <w:szCs w:val="24"/>
        </w:rPr>
        <w:t xml:space="preserve"> пределах лимитов бюджетных обязательств, предусмотренных на соответствующий год. Общий объём расходов на представительские расходы планируется ежегодно в бюджетной смете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6C01BA" w:rsidRPr="00DC44BE">
        <w:rPr>
          <w:rFonts w:ascii="Times New Roman" w:hAnsi="Times New Roman" w:cs="Times New Roman"/>
          <w:sz w:val="24"/>
          <w:szCs w:val="24"/>
        </w:rPr>
        <w:t>ого сельского поселения в размере, не превышающем четыре процента от расходов, предусмотренных бюджетной сметой на оплату труда.</w:t>
      </w:r>
    </w:p>
    <w:p w:rsidR="006C01BA" w:rsidRPr="00DC44BE" w:rsidRDefault="006C01BA" w:rsidP="0002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 представительским расходам относятся расходы на:</w:t>
      </w:r>
    </w:p>
    <w:p w:rsidR="00401D95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транспортное обеспечение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44B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DC44BE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lastRenderedPageBreak/>
        <w:t>- проведение официальных приёмов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питание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буфетное обслуживание во время переговоров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- буфетное обслуживание заседаний, депутатских слушаний, конференций, семинаров, «круглых столов», совещаний, проводимых органами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заседаний комитетов, приёмных руководителей органов местного самоуправления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огосльского</w:t>
      </w:r>
      <w:proofErr w:type="spellEnd"/>
      <w:r w:rsidRPr="00DC44B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бытовое обслуживание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мероприятия культурной программы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оплату услуг переводчиков</w:t>
      </w:r>
      <w:r w:rsidR="00D47876" w:rsidRPr="00DC44BE">
        <w:rPr>
          <w:rFonts w:ascii="Times New Roman" w:hAnsi="Times New Roman" w:cs="Times New Roman"/>
          <w:sz w:val="24"/>
          <w:szCs w:val="24"/>
        </w:rPr>
        <w:t xml:space="preserve">, не состоящих в штате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D47876" w:rsidRPr="00DC44BE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D47876" w:rsidRPr="00DC44BE" w:rsidRDefault="00D47876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аренду помещений</w:t>
      </w:r>
    </w:p>
    <w:p w:rsidR="00D47876" w:rsidRPr="00DC44BE" w:rsidRDefault="00D47876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приобретение сувениров, памятных подарков, цветов</w:t>
      </w:r>
    </w:p>
    <w:p w:rsidR="00D47876" w:rsidRPr="00DC44BE" w:rsidRDefault="00D47876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канцелярские товары</w:t>
      </w:r>
    </w:p>
    <w:p w:rsidR="00D47876" w:rsidRPr="00DC44BE" w:rsidRDefault="00D47876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 представительским расходам не относятся расходы на организацию развлечений, отдыха,, профилактики или лечения заболеваний.</w:t>
      </w:r>
    </w:p>
    <w:p w:rsidR="00D47876" w:rsidRPr="00DC44BE" w:rsidRDefault="00D47876" w:rsidP="00D478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Представительские расходы, связанные с приёмом официальных лиц и (или) обслуживанием представителей (делегаций и отдельных лиц) организаций, учреждений, предприятий (включая иностранных), определяются в соответствии со сметой представительских расходов на проведение мероприятия с учётом норм, установленных настоящим Положением, и утверждаются распоряжением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(приложение 1). Отчёт о представительских расходах (приложение 2) представляется не позднее трёх рабочих дней после проведения мероприятия.</w:t>
      </w:r>
    </w:p>
    <w:p w:rsidR="00D47876" w:rsidRPr="00DC44BE" w:rsidRDefault="00D47876" w:rsidP="00D478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Представительские расходы, связанные с буфетным обслуживанием заседаний, депутатских слушаний, конференций, семинаров, «круглых столов», совещаний, проводимых органами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поселения, заседаний комитетов, приёмных руководителей</w:t>
      </w:r>
      <w:r w:rsidR="00907EAA" w:rsidRPr="00DC44BE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907EAA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 определяются в пределах норм представительских расходов, предусмотренных пунктом 9 настоящего Положения. Распоряжение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907EAA" w:rsidRPr="00DC44BE">
        <w:rPr>
          <w:rFonts w:ascii="Times New Roman" w:hAnsi="Times New Roman" w:cs="Times New Roman"/>
          <w:sz w:val="24"/>
          <w:szCs w:val="24"/>
        </w:rPr>
        <w:t>ого сельского поселения в данных случаях не требуется.</w:t>
      </w:r>
    </w:p>
    <w:p w:rsidR="00907EAA" w:rsidRPr="00DC44BE" w:rsidRDefault="00907EAA" w:rsidP="00D478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Представительские расходы, связанные с участием руководителей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 в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C44BE">
        <w:rPr>
          <w:rFonts w:ascii="Times New Roman" w:hAnsi="Times New Roman" w:cs="Times New Roman"/>
          <w:sz w:val="24"/>
          <w:szCs w:val="24"/>
        </w:rPr>
        <w:t xml:space="preserve"> сельском поселении, сопряжённых с выездом за пределы Костромской области с целью представления интересов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поселения, по случаю профессиональных праздников, официальных посещений, семинаров, презентаций, выступлений</w:t>
      </w:r>
      <w:r w:rsidR="00C80449" w:rsidRPr="00DC44BE">
        <w:rPr>
          <w:rFonts w:ascii="Times New Roman" w:hAnsi="Times New Roman" w:cs="Times New Roman"/>
          <w:sz w:val="24"/>
          <w:szCs w:val="24"/>
        </w:rPr>
        <w:t xml:space="preserve">творческих коллективов, по поводу открытия социально значимых объектов, поздравления заслуженных людей, коллективов от имени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C80449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и других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C80449"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C80449" w:rsidRPr="00DC44BE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7E1068" w:rsidRPr="00DC44BE">
        <w:rPr>
          <w:rFonts w:ascii="Times New Roman" w:hAnsi="Times New Roman" w:cs="Times New Roman"/>
          <w:sz w:val="24"/>
          <w:szCs w:val="24"/>
        </w:rPr>
        <w:t xml:space="preserve"> поселении, производится </w:t>
      </w:r>
      <w:r w:rsidR="007E1068" w:rsidRPr="00DC44BE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нормами, установленными настоящим Положением на основании официального приглашения на имя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7E1068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 и его визы на участие в мероприятии. Распоряжение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7E1068" w:rsidRPr="00DC44BE">
        <w:rPr>
          <w:rFonts w:ascii="Times New Roman" w:hAnsi="Times New Roman" w:cs="Times New Roman"/>
          <w:sz w:val="24"/>
          <w:szCs w:val="24"/>
        </w:rPr>
        <w:t>ого сельского поселения в данных случаях не оформляется.</w:t>
      </w:r>
    </w:p>
    <w:p w:rsidR="007E1068" w:rsidRPr="00DC44BE" w:rsidRDefault="007E1068" w:rsidP="00D478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Нормы представительских расходов устанавливаются в следующих размерах:</w:t>
      </w:r>
    </w:p>
    <w:p w:rsidR="007E1068" w:rsidRPr="00DC44BE" w:rsidRDefault="007E106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Транспортное обеспечение – по фактическим расходам, но не более стоимости двухкомнатного номера – для руководителей делегаций, стоимости одноместного номера – для членов делегаций и сопровождающих лиц. Расходы, связанные с бронированием мест в гостиницах, предусматриваются в размере 5 % стоимости места за сутки;</w:t>
      </w:r>
    </w:p>
    <w:p w:rsidR="007E1068" w:rsidRPr="00DC44BE" w:rsidRDefault="007E106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официальный приём от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 xml:space="preserve">ого поселения (на одного участника) – до </w:t>
      </w:r>
      <w:r w:rsidR="00EB540C" w:rsidRPr="00DC44BE">
        <w:rPr>
          <w:rFonts w:ascii="Times New Roman" w:hAnsi="Times New Roman" w:cs="Times New Roman"/>
          <w:sz w:val="24"/>
          <w:szCs w:val="24"/>
        </w:rPr>
        <w:t xml:space="preserve">50 рублей. Количество участников со стороны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EB540C" w:rsidRPr="00DC44BE">
        <w:rPr>
          <w:rFonts w:ascii="Times New Roman" w:hAnsi="Times New Roman" w:cs="Times New Roman"/>
          <w:sz w:val="24"/>
          <w:szCs w:val="24"/>
        </w:rPr>
        <w:t>ого сельского поселения не должно превышать количества участников делегации;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оплата питания (на 1 человека в сутки) – до 150 рублей;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буфетное обслуживание во время ведения переговоров – до 50 рублей в день на одного участника мероприятия (включая переводчика и сопровождающих лиц);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буфетное обслуживание: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заседаний – до 30 рублей на 1 заседание;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депутатских слушаний, конференций, семинаров, «круглых столов», совещаний, проводимых органами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– до 300 рублей на 1 мероприятие;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заседаний комитетов Совета депутатов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– до 250 рублей в месяц;</w:t>
      </w:r>
      <w:bookmarkStart w:id="0" w:name="_GoBack"/>
      <w:bookmarkEnd w:id="0"/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приёмной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– до 300 рублей в месяц;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бытовое обслуживание (на 1 человека в сутки) – до 50 рублей;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мероприятия культурной программы (на 1 человека в сутки, включая переводчика и сопровождающих лиц) – до 100 рублей;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оплата услуг переводчиков, не состоящих в штате органа местного самоуправления – до 200 рублей в час;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аренда помещений – по фактическим расходам;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приобретение сувениров, памятных подарков, связанных с приёмом официальных лиц и делегаций: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для руководителя делегации – до 100 рублей;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для членов делегаций (на 1 человека) – до 50 рублей;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приобретение сувениров, памятных подарков в случаях командировок, сопряжённых с выездом за пределы Костромской области – до 100 рублей;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приобретение сувениров, памятных подарков, цветов для участия в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C44BE">
        <w:rPr>
          <w:rFonts w:ascii="Times New Roman" w:hAnsi="Times New Roman" w:cs="Times New Roman"/>
          <w:sz w:val="24"/>
          <w:szCs w:val="24"/>
        </w:rPr>
        <w:t xml:space="preserve"> сельском поселении, по случаю профессиональных праздников, официальных посещений семинаров, презентаций, выступлений творческих коллективов, по поводу </w:t>
      </w:r>
      <w:r w:rsidR="00732848" w:rsidRPr="00DC44BE">
        <w:rPr>
          <w:rFonts w:ascii="Times New Roman" w:hAnsi="Times New Roman" w:cs="Times New Roman"/>
          <w:sz w:val="24"/>
          <w:szCs w:val="24"/>
        </w:rPr>
        <w:t xml:space="preserve">открытия социально значимых объектов, поздравления заслуженных людей, коллективов от имени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732848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и других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732848"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732848" w:rsidRPr="00DC44BE">
        <w:rPr>
          <w:rFonts w:ascii="Times New Roman" w:hAnsi="Times New Roman" w:cs="Times New Roman"/>
          <w:sz w:val="24"/>
          <w:szCs w:val="24"/>
        </w:rPr>
        <w:t xml:space="preserve"> сельском поселении, - до 100 рублей;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lastRenderedPageBreak/>
        <w:t xml:space="preserve">канцелярские товары (ручки, карандаши, бумага, блокноты, файлы, папки с нанесением логотипов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поселения) – по фактическим расходам.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 Положению о представительских расходах,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Осуществляемых органами местного самоуправления</w:t>
      </w:r>
    </w:p>
    <w:p w:rsidR="00732848" w:rsidRPr="00DC44BE" w:rsidRDefault="005925B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Екатеринкинск</w:t>
      </w:r>
      <w:r w:rsidR="00732848" w:rsidRPr="00DC44BE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СМЕТА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представительских расходов на проведение мероприятия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Дата проведения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Цель проведения: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Приглашённые официальные лица в количестве                                  человек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Официальные участники со стороны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в количестве – человек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Источник финансирования: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199"/>
        <w:gridCol w:w="2875"/>
      </w:tblGrid>
      <w:tr w:rsidR="00732848" w:rsidRPr="00DC44BE" w:rsidTr="00732848">
        <w:tc>
          <w:tcPr>
            <w:tcW w:w="551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9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представительских расходов (состав расходов)</w:t>
            </w:r>
          </w:p>
        </w:tc>
        <w:tc>
          <w:tcPr>
            <w:tcW w:w="2875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Суммы представительских расходов (</w:t>
            </w:r>
            <w:proofErr w:type="spellStart"/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848" w:rsidRPr="00DC44BE" w:rsidTr="00732848">
        <w:tc>
          <w:tcPr>
            <w:tcW w:w="551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848" w:rsidRPr="00DC44BE" w:rsidTr="00732848">
        <w:tc>
          <w:tcPr>
            <w:tcW w:w="551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75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40C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Примерный расчёт по каждому пункту.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Смету составил: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(наименование должности)                    (подпись)                         (расшифровка подписи)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 к Положению о представительских расходах,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осуществляемых органами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Отчёт № от «     » __________20    г.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 произведённых представительских расходах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В целях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в органе местного самоуправления проведено_______________________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Количество участников: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от органов местного самоуправления – чел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от приглашённой стороны – чел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Общая тематика проведённых переговоров_________________________    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Местом проведения переговоров явилось_____________________________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Представительские расходы составили __________________________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lastRenderedPageBreak/>
        <w:t>Подтверждающие документы прилагаются.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Источник финансирования:______________________________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Отчёт составил:______________________________________</w:t>
      </w:r>
    </w:p>
    <w:sectPr w:rsidR="00BF3BA8" w:rsidRPr="00DC44BE" w:rsidSect="0086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76D"/>
    <w:multiLevelType w:val="hybridMultilevel"/>
    <w:tmpl w:val="E826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F4755"/>
    <w:multiLevelType w:val="hybridMultilevel"/>
    <w:tmpl w:val="DCB4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401D95"/>
    <w:rsid w:val="00024785"/>
    <w:rsid w:val="002523DF"/>
    <w:rsid w:val="002F5E0D"/>
    <w:rsid w:val="003B51F2"/>
    <w:rsid w:val="00401D95"/>
    <w:rsid w:val="004E3D3A"/>
    <w:rsid w:val="00567001"/>
    <w:rsid w:val="005925BB"/>
    <w:rsid w:val="005F5AB2"/>
    <w:rsid w:val="006C01BA"/>
    <w:rsid w:val="00732848"/>
    <w:rsid w:val="00772172"/>
    <w:rsid w:val="007E1068"/>
    <w:rsid w:val="00862B10"/>
    <w:rsid w:val="00907EAA"/>
    <w:rsid w:val="00A64799"/>
    <w:rsid w:val="00BF3BA8"/>
    <w:rsid w:val="00C80449"/>
    <w:rsid w:val="00CA67CD"/>
    <w:rsid w:val="00D47876"/>
    <w:rsid w:val="00DC44BE"/>
    <w:rsid w:val="00EB540C"/>
    <w:rsid w:val="00FD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3A"/>
    <w:pPr>
      <w:ind w:left="720"/>
      <w:contextualSpacing/>
    </w:pPr>
  </w:style>
  <w:style w:type="table" w:styleId="a4">
    <w:name w:val="Table Grid"/>
    <w:basedOn w:val="a1"/>
    <w:uiPriority w:val="39"/>
    <w:rsid w:val="0073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Аня</cp:lastModifiedBy>
  <cp:revision>2</cp:revision>
  <dcterms:created xsi:type="dcterms:W3CDTF">2023-07-14T12:07:00Z</dcterms:created>
  <dcterms:modified xsi:type="dcterms:W3CDTF">2023-07-14T12:07:00Z</dcterms:modified>
</cp:coreProperties>
</file>